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经费使用项目申报表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="2039" w:leftChars="171" w:hanging="1680" w:hanging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 目 名 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福建省菲律宾归侨侨眷联谊会换届交接大会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 目 类 型：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开展为侨服务活动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 体 会 员：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福建省菲律宾归侨侨眷联谊会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归口主管部室：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基层建设部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 报 时 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2023年3月23日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福建省归国华侨联合会制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horzAnchor="page" w:tblpX="1816" w:tblpY="72"/>
        <w:tblOverlap w:val="never"/>
        <w:tblW w:w="7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3"/>
        <w:gridCol w:w="2135"/>
        <w:gridCol w:w="1970"/>
        <w:gridCol w:w="195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项目联系人</w:t>
            </w:r>
          </w:p>
        </w:tc>
        <w:tc>
          <w:tcPr>
            <w:tcW w:w="213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杨德富</w:t>
            </w:r>
          </w:p>
        </w:tc>
        <w:tc>
          <w:tcPr>
            <w:tcW w:w="19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（手机）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13635291389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6075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温泉街道汤门社区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项目总经费</w:t>
            </w:r>
          </w:p>
        </w:tc>
        <w:tc>
          <w:tcPr>
            <w:tcW w:w="6075" w:type="dxa"/>
            <w:gridSpan w:val="4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19040元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承办所需经费</w:t>
            </w:r>
          </w:p>
        </w:tc>
        <w:tc>
          <w:tcPr>
            <w:tcW w:w="6075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项目申请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理由及项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目主要内容</w:t>
            </w:r>
          </w:p>
        </w:tc>
        <w:tc>
          <w:tcPr>
            <w:tcW w:w="7278" w:type="dxa"/>
            <w:gridSpan w:val="5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根据《中国归侨侨眷联合会章程》和《福建省菲律宾归侨侨眷联谊会章程》要求，为认真贯彻中国侨联、省侨联关于加强团体会员组织建设工作的指导意见，推动社团组织起来，活跃起来，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加强侨界联谊。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经我会常务理事会研究决定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举行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福建省菲律宾归侨侨眷联谊会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六届七次会员代表大会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--换届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（第六届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--第七届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交接庆典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及向泉州市华侨革命历史博物馆捐赠“新四军”老革命文物和瞻仰革命老前辈“叶飞”纪念馆活动。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278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项目总体目标: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开展为侨服务活动，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加强组织建设，增强组织活力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月  日（含报到时间）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会议议程: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1、学习党的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二十大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并全面贯彻落实党的二十大精神；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2、审议通过福建省菲律宾归侨侨眷联谊会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3、审议并通过福建省菲律宾归侨侨眷联谊会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实施财务收支情况报告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福建省菲律宾归侨侨眷联谊会换届交接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选举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福建省菲律宾归侨侨眷联谊会会长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常务副会长、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副会长、常务理事、理事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聘任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福建省菲律宾归侨侨眷联谊会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名誉会长、高级顾问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省侨联领导讲话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、会员座谈交流一年来的工作生活情况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向泉州市华侨革命历史博物馆捐赠“新四军”老革命文物及瞻仰革命老前辈“叶飞”纪念馆活动。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989" w:hRule="atLeast"/>
        </w:trPr>
        <w:tc>
          <w:tcPr>
            <w:tcW w:w="6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项目资金测算依据及说明</w:t>
            </w:r>
          </w:p>
        </w:tc>
        <w:tc>
          <w:tcPr>
            <w:tcW w:w="7266" w:type="dxa"/>
            <w:gridSpan w:val="4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会议时间: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月  日（含报到时间）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会议地点:闽江饭店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会议对象：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代表、菲律宾、北京、广州、泉州等兄弟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联谊会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嘉宾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参加会议人员: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其中外地代表24人，本地代表63人，工作人员 3人。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经费预算: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会议材料(文件袋、笔记本、签字笔、资料印制)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14元x90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份=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会议厅场租费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元(场租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3000元；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场地布置、条幅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1500元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设备租金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海外及国内邀请嘉宾住宿费：共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间/270元/间天，共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80元；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换届活动餐费：共90人次，70元/人，计6300元；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19040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tabs>
          <w:tab w:val="left" w:pos="5109"/>
        </w:tabs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8"/>
        <w:tblW w:w="79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申报单位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（团体会员）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640" w:firstLine="3840" w:firstLineChars="1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  <w:p>
            <w:pPr>
              <w:wordWrap w:val="0"/>
              <w:ind w:right="640" w:firstLine="3480" w:firstLineChars="14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归口主管部室审核意见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（盖章）</w:t>
            </w:r>
          </w:p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月 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  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1.项目申报内容要按照该项目的有关标准或要求填报。</w:t>
      </w:r>
    </w:p>
    <w:p>
      <w:pPr>
        <w:spacing w:line="400" w:lineRule="exact"/>
        <w:ind w:firstLine="480" w:firstLineChars="200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2.项目申报表各印制一式叁份，团体会员、归口主管部室各留存1份，报销入档1份。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zZDUxYWVkYzUwMWRjZTM1NDQ4ZmFkM2FhNDMwYWYifQ=="/>
  </w:docVars>
  <w:rsids>
    <w:rsidRoot w:val="00CF5931"/>
    <w:rsid w:val="00024489"/>
    <w:rsid w:val="00045B73"/>
    <w:rsid w:val="000D1305"/>
    <w:rsid w:val="001526B2"/>
    <w:rsid w:val="00156EF8"/>
    <w:rsid w:val="00167D79"/>
    <w:rsid w:val="001777A7"/>
    <w:rsid w:val="00203E1B"/>
    <w:rsid w:val="00216C8D"/>
    <w:rsid w:val="00270752"/>
    <w:rsid w:val="00292678"/>
    <w:rsid w:val="002B5C63"/>
    <w:rsid w:val="002F4ABD"/>
    <w:rsid w:val="00302544"/>
    <w:rsid w:val="0035013F"/>
    <w:rsid w:val="003F01B4"/>
    <w:rsid w:val="00426F61"/>
    <w:rsid w:val="00434982"/>
    <w:rsid w:val="004358C4"/>
    <w:rsid w:val="004D33A9"/>
    <w:rsid w:val="0051654E"/>
    <w:rsid w:val="00534A57"/>
    <w:rsid w:val="00541F70"/>
    <w:rsid w:val="00562B2A"/>
    <w:rsid w:val="00566F97"/>
    <w:rsid w:val="00590757"/>
    <w:rsid w:val="00591F31"/>
    <w:rsid w:val="005B45D1"/>
    <w:rsid w:val="005C4555"/>
    <w:rsid w:val="00647FCA"/>
    <w:rsid w:val="006615B4"/>
    <w:rsid w:val="0066600A"/>
    <w:rsid w:val="00666858"/>
    <w:rsid w:val="00667F9E"/>
    <w:rsid w:val="00673239"/>
    <w:rsid w:val="006B200C"/>
    <w:rsid w:val="00700272"/>
    <w:rsid w:val="00752C57"/>
    <w:rsid w:val="007552D7"/>
    <w:rsid w:val="007740B8"/>
    <w:rsid w:val="00815502"/>
    <w:rsid w:val="008B4113"/>
    <w:rsid w:val="008B7DB0"/>
    <w:rsid w:val="009F1766"/>
    <w:rsid w:val="00A77189"/>
    <w:rsid w:val="00AF33CE"/>
    <w:rsid w:val="00B304E3"/>
    <w:rsid w:val="00B37302"/>
    <w:rsid w:val="00B45E57"/>
    <w:rsid w:val="00BD7B7B"/>
    <w:rsid w:val="00BE6D84"/>
    <w:rsid w:val="00C73E6F"/>
    <w:rsid w:val="00C84349"/>
    <w:rsid w:val="00CF5931"/>
    <w:rsid w:val="00D33699"/>
    <w:rsid w:val="00D628C2"/>
    <w:rsid w:val="00D64EEB"/>
    <w:rsid w:val="00D8067E"/>
    <w:rsid w:val="00E41F11"/>
    <w:rsid w:val="00E77BAB"/>
    <w:rsid w:val="00EE7BFF"/>
    <w:rsid w:val="00EF6C65"/>
    <w:rsid w:val="00F97B09"/>
    <w:rsid w:val="020334A2"/>
    <w:rsid w:val="0220304D"/>
    <w:rsid w:val="0A1F0894"/>
    <w:rsid w:val="0DE661E7"/>
    <w:rsid w:val="0EFB4E5C"/>
    <w:rsid w:val="16262A68"/>
    <w:rsid w:val="16EC34F3"/>
    <w:rsid w:val="176F66F6"/>
    <w:rsid w:val="1C936199"/>
    <w:rsid w:val="1E326C77"/>
    <w:rsid w:val="1F9966D3"/>
    <w:rsid w:val="1F9A5E3D"/>
    <w:rsid w:val="20DB34E6"/>
    <w:rsid w:val="25050B72"/>
    <w:rsid w:val="2544629B"/>
    <w:rsid w:val="265E2993"/>
    <w:rsid w:val="266B7FEA"/>
    <w:rsid w:val="26E97E26"/>
    <w:rsid w:val="28956AFF"/>
    <w:rsid w:val="295F5590"/>
    <w:rsid w:val="29D7284F"/>
    <w:rsid w:val="2FAB2D03"/>
    <w:rsid w:val="2FB94B69"/>
    <w:rsid w:val="30EE4D68"/>
    <w:rsid w:val="3515348F"/>
    <w:rsid w:val="35AB6B06"/>
    <w:rsid w:val="3727476F"/>
    <w:rsid w:val="373B2064"/>
    <w:rsid w:val="38255A9B"/>
    <w:rsid w:val="3BF30C1D"/>
    <w:rsid w:val="3C6C01D2"/>
    <w:rsid w:val="3CF23ACB"/>
    <w:rsid w:val="3F77ADFC"/>
    <w:rsid w:val="45270D25"/>
    <w:rsid w:val="46806ED8"/>
    <w:rsid w:val="47806FC8"/>
    <w:rsid w:val="47907137"/>
    <w:rsid w:val="48972EB7"/>
    <w:rsid w:val="49FD3531"/>
    <w:rsid w:val="4FEE1838"/>
    <w:rsid w:val="51CC75DF"/>
    <w:rsid w:val="534F1156"/>
    <w:rsid w:val="53E739AD"/>
    <w:rsid w:val="57DC6CEC"/>
    <w:rsid w:val="5ADB7481"/>
    <w:rsid w:val="5C3F445D"/>
    <w:rsid w:val="5C4F3F0B"/>
    <w:rsid w:val="5E814036"/>
    <w:rsid w:val="5F4445E5"/>
    <w:rsid w:val="61070BE7"/>
    <w:rsid w:val="62F04973"/>
    <w:rsid w:val="679C4F18"/>
    <w:rsid w:val="6A6C248C"/>
    <w:rsid w:val="6A7C1BE2"/>
    <w:rsid w:val="6AFB4F90"/>
    <w:rsid w:val="6BC648BB"/>
    <w:rsid w:val="6D957DEC"/>
    <w:rsid w:val="6DA5162B"/>
    <w:rsid w:val="6FAA4376"/>
    <w:rsid w:val="70F8225A"/>
    <w:rsid w:val="71BC7EA6"/>
    <w:rsid w:val="7378586B"/>
    <w:rsid w:val="77FC5E64"/>
    <w:rsid w:val="7CA8482B"/>
    <w:rsid w:val="7D9A22D4"/>
    <w:rsid w:val="7FA768F8"/>
    <w:rsid w:val="9EFFF9E6"/>
    <w:rsid w:val="BFFF89C0"/>
    <w:rsid w:val="ECFF3AB5"/>
    <w:rsid w:val="EFFEEA76"/>
    <w:rsid w:val="FD975136"/>
    <w:rsid w:val="FDB3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985</Words>
  <Characters>1058</Characters>
  <Lines>4</Lines>
  <Paragraphs>1</Paragraphs>
  <TotalTime>0</TotalTime>
  <ScaleCrop>false</ScaleCrop>
  <LinksUpToDate>false</LinksUpToDate>
  <CharactersWithSpaces>1135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2022-08-27T01:44:00Z</dcterms:created>
  <dc:creator>zhh</dc:creator>
  <cp:lastModifiedBy>user</cp:lastModifiedBy>
  <cp:lastPrinted>2022-08-30T09:31:00Z</cp:lastPrinted>
  <dcterms:modified xsi:type="dcterms:W3CDTF">2023-04-14T16:47:56Z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3E297C383CD3464DA736F11F61CC275F</vt:lpwstr>
  </property>
</Properties>
</file>